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F25" w:rsidRPr="009504E8" w:rsidRDefault="002015B7" w:rsidP="006013CF">
      <w:pPr>
        <w:jc w:val="center"/>
        <w:rPr>
          <w:b/>
          <w:bCs/>
          <w:sz w:val="32"/>
          <w:szCs w:val="32"/>
          <w:lang w:val="id-ID"/>
        </w:rPr>
      </w:pPr>
      <w:r w:rsidRPr="009504E8">
        <w:rPr>
          <w:b/>
          <w:bCs/>
          <w:sz w:val="32"/>
          <w:szCs w:val="32"/>
          <w:lang w:val="id-ID"/>
        </w:rPr>
        <w:t>Analisis Penjualan Januari–Juni 2024</w:t>
      </w:r>
    </w:p>
    <w:p w:rsidR="006013CF" w:rsidRPr="006013CF" w:rsidRDefault="002015B7" w:rsidP="006013CF">
      <w:pPr>
        <w:pStyle w:val="ListParagraph"/>
        <w:numPr>
          <w:ilvl w:val="0"/>
          <w:numId w:val="1"/>
        </w:numPr>
        <w:jc w:val="both"/>
        <w:rPr>
          <w:rStyle w:val="Strong"/>
          <w:b w:val="0"/>
          <w:bCs w:val="0"/>
          <w:lang w:val="id-ID"/>
        </w:rPr>
      </w:pPr>
      <w:r w:rsidRPr="002015B7">
        <w:rPr>
          <w:rStyle w:val="Strong"/>
          <w:lang w:val="id-ID"/>
        </w:rPr>
        <w:t>Ringkasan Umum</w:t>
      </w:r>
    </w:p>
    <w:p w:rsidR="002015B7" w:rsidRPr="006013CF" w:rsidRDefault="002015B7" w:rsidP="006013CF">
      <w:pPr>
        <w:pStyle w:val="ListParagraph"/>
        <w:ind w:left="360"/>
        <w:jc w:val="both"/>
        <w:rPr>
          <w:lang w:val="id-ID"/>
        </w:rPr>
      </w:pPr>
      <w:r w:rsidRPr="006013CF">
        <w:rPr>
          <w:lang w:val="id-ID"/>
        </w:rPr>
        <w:t xml:space="preserve">Total penjualan periode ini mencapai </w:t>
      </w:r>
      <w:r w:rsidRPr="006013CF">
        <w:rPr>
          <w:rStyle w:val="Strong"/>
          <w:lang w:val="id-ID"/>
        </w:rPr>
        <w:t>Rp 2.297.486.000</w:t>
      </w:r>
      <w:r w:rsidRPr="006013CF">
        <w:rPr>
          <w:lang w:val="id-ID"/>
        </w:rPr>
        <w:t xml:space="preserve"> dengan total profit </w:t>
      </w:r>
      <w:r w:rsidRPr="006013CF">
        <w:rPr>
          <w:rStyle w:val="Strong"/>
          <w:lang w:val="id-ID"/>
        </w:rPr>
        <w:t>Rp 1.015.354.000</w:t>
      </w:r>
      <w:r w:rsidRPr="006013CF">
        <w:rPr>
          <w:lang w:val="id-ID"/>
        </w:rPr>
        <w:t xml:space="preserve"> (margin profit rata-rata ~44%). Rata-rata nilai transaksi sekitar Rp 20,8 juta per pesanan.</w:t>
      </w:r>
    </w:p>
    <w:p w:rsidR="002015B7" w:rsidRPr="006013CF" w:rsidRDefault="002015B7" w:rsidP="006013CF">
      <w:pPr>
        <w:pStyle w:val="ListParagraph"/>
        <w:numPr>
          <w:ilvl w:val="0"/>
          <w:numId w:val="1"/>
        </w:numPr>
        <w:jc w:val="both"/>
        <w:rPr>
          <w:rStyle w:val="Strong"/>
          <w:b w:val="0"/>
          <w:bCs w:val="0"/>
          <w:lang w:val="id-ID"/>
        </w:rPr>
      </w:pPr>
      <w:r w:rsidRPr="002015B7">
        <w:rPr>
          <w:rStyle w:val="Strong"/>
          <w:lang w:val="id-ID"/>
        </w:rPr>
        <w:t xml:space="preserve">Kinerja per </w:t>
      </w:r>
      <w:proofErr w:type="spellStart"/>
      <w:r w:rsidRPr="002015B7">
        <w:rPr>
          <w:rStyle w:val="Strong"/>
          <w:lang w:val="id-ID"/>
        </w:rPr>
        <w:t>Sales</w:t>
      </w:r>
      <w:proofErr w:type="spellEnd"/>
    </w:p>
    <w:p w:rsidR="006013CF" w:rsidRPr="002015B7" w:rsidRDefault="006013CF" w:rsidP="006013CF">
      <w:pPr>
        <w:pStyle w:val="ListParagraph"/>
        <w:ind w:left="360"/>
        <w:jc w:val="center"/>
        <w:rPr>
          <w:rStyle w:val="Strong"/>
          <w:b w:val="0"/>
          <w:bCs w:val="0"/>
          <w:lang w:val="id-ID"/>
        </w:rPr>
      </w:pPr>
      <w:r>
        <w:rPr>
          <w:noProof/>
        </w:rPr>
        <w:drawing>
          <wp:inline distT="0" distB="0" distL="0" distR="0" wp14:anchorId="27FEB3A5" wp14:editId="0C282D29">
            <wp:extent cx="5372100" cy="3314700"/>
            <wp:effectExtent l="0" t="0" r="12700" b="12700"/>
            <wp:docPr id="1524484449" name="Chart 1">
              <a:extLst xmlns:a="http://schemas.openxmlformats.org/drawingml/2006/main">
                <a:ext uri="{FF2B5EF4-FFF2-40B4-BE49-F238E27FC236}">
                  <a16:creationId xmlns:a16="http://schemas.microsoft.com/office/drawing/2014/main" id="{DC46473A-A22C-2E1A-32EC-CEC9C21A59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015B7" w:rsidRPr="002015B7" w:rsidRDefault="002015B7" w:rsidP="006013CF">
      <w:pPr>
        <w:pStyle w:val="ListParagraph"/>
        <w:ind w:left="360"/>
        <w:jc w:val="both"/>
        <w:rPr>
          <w:lang w:val="id-ID"/>
        </w:rPr>
      </w:pPr>
      <w:r w:rsidRPr="002015B7">
        <w:rPr>
          <w:lang w:val="id-ID"/>
        </w:rPr>
        <w:t xml:space="preserve">Kesenjangan profit antar </w:t>
      </w:r>
      <w:proofErr w:type="spellStart"/>
      <w:r w:rsidRPr="002015B7">
        <w:rPr>
          <w:lang w:val="id-ID"/>
        </w:rPr>
        <w:t>sales</w:t>
      </w:r>
      <w:proofErr w:type="spellEnd"/>
      <w:r w:rsidRPr="002015B7">
        <w:rPr>
          <w:lang w:val="id-ID"/>
        </w:rPr>
        <w:t xml:space="preserve"> relatif kecil (rentang ~Rp 76 juta), </w:t>
      </w:r>
      <w:proofErr w:type="spellStart"/>
      <w:r w:rsidRPr="002015B7">
        <w:rPr>
          <w:lang w:val="id-ID"/>
        </w:rPr>
        <w:t>sales</w:t>
      </w:r>
      <w:proofErr w:type="spellEnd"/>
      <w:r w:rsidRPr="002015B7">
        <w:rPr>
          <w:lang w:val="id-ID"/>
        </w:rPr>
        <w:t xml:space="preserve"> paling merata performanya adalah Citra Dewi, sementara Fitri Handayani punya ruang untuk ditingkatkan.</w:t>
      </w:r>
    </w:p>
    <w:p w:rsidR="002015B7" w:rsidRDefault="002015B7" w:rsidP="006013CF">
      <w:pPr>
        <w:pStyle w:val="ListParagraph"/>
        <w:numPr>
          <w:ilvl w:val="0"/>
          <w:numId w:val="1"/>
        </w:numPr>
        <w:jc w:val="both"/>
        <w:rPr>
          <w:b/>
          <w:bCs/>
          <w:lang w:val="id-ID"/>
        </w:rPr>
      </w:pPr>
      <w:r w:rsidRPr="002015B7">
        <w:rPr>
          <w:b/>
          <w:bCs/>
          <w:lang w:val="id-ID"/>
        </w:rPr>
        <w:t>Kinerja per Kategori Produk</w:t>
      </w:r>
    </w:p>
    <w:p w:rsidR="002015B7" w:rsidRDefault="002015B7" w:rsidP="006013CF">
      <w:pPr>
        <w:pStyle w:val="ListParagraph"/>
        <w:numPr>
          <w:ilvl w:val="0"/>
          <w:numId w:val="2"/>
        </w:numPr>
        <w:jc w:val="both"/>
        <w:rPr>
          <w:lang w:val="id-ID"/>
        </w:rPr>
      </w:pPr>
      <w:r w:rsidRPr="002015B7">
        <w:rPr>
          <w:lang w:val="id-ID"/>
        </w:rPr>
        <w:t>Furnitur</w:t>
      </w:r>
    </w:p>
    <w:p w:rsidR="002015B7" w:rsidRPr="002015B7" w:rsidRDefault="002015B7" w:rsidP="006013CF">
      <w:pPr>
        <w:pStyle w:val="ListParagraph"/>
        <w:jc w:val="both"/>
        <w:rPr>
          <w:lang w:val="id-ID"/>
        </w:rPr>
      </w:pPr>
      <w:r>
        <w:rPr>
          <w:lang w:val="id-ID"/>
        </w:rPr>
        <w:t>P</w:t>
      </w:r>
      <w:r w:rsidRPr="002015B7">
        <w:rPr>
          <w:lang w:val="id-ID"/>
        </w:rPr>
        <w:t>rofit terbesar Rp 629.811.000 (62% dari total profit), didorong terutama oleh Meja Berdiri/</w:t>
      </w:r>
      <w:proofErr w:type="spellStart"/>
      <w:r w:rsidRPr="002015B7">
        <w:rPr>
          <w:lang w:val="id-ID"/>
        </w:rPr>
        <w:t>Standing</w:t>
      </w:r>
      <w:proofErr w:type="spellEnd"/>
      <w:r w:rsidRPr="002015B7">
        <w:rPr>
          <w:lang w:val="id-ID"/>
        </w:rPr>
        <w:t xml:space="preserve"> </w:t>
      </w:r>
      <w:proofErr w:type="spellStart"/>
      <w:r w:rsidRPr="002015B7">
        <w:rPr>
          <w:lang w:val="id-ID"/>
        </w:rPr>
        <w:t>Desk</w:t>
      </w:r>
      <w:proofErr w:type="spellEnd"/>
      <w:r w:rsidRPr="002015B7">
        <w:rPr>
          <w:lang w:val="id-ID"/>
        </w:rPr>
        <w:t xml:space="preserve"> (Rp 262 juta) dan Kursi Kantor (Rp 200 juta)</w:t>
      </w:r>
      <w:r>
        <w:rPr>
          <w:lang w:val="id-ID"/>
        </w:rPr>
        <w:t>.</w:t>
      </w:r>
    </w:p>
    <w:p w:rsidR="002015B7" w:rsidRDefault="002015B7" w:rsidP="006013CF">
      <w:pPr>
        <w:pStyle w:val="ListParagraph"/>
        <w:numPr>
          <w:ilvl w:val="0"/>
          <w:numId w:val="2"/>
        </w:numPr>
        <w:jc w:val="both"/>
        <w:rPr>
          <w:lang w:val="id-ID"/>
        </w:rPr>
      </w:pPr>
      <w:r w:rsidRPr="002015B7">
        <w:rPr>
          <w:lang w:val="id-ID"/>
        </w:rPr>
        <w:t>Elektronik</w:t>
      </w:r>
    </w:p>
    <w:p w:rsidR="002015B7" w:rsidRPr="002015B7" w:rsidRDefault="002015B7" w:rsidP="006013CF">
      <w:pPr>
        <w:pStyle w:val="ListParagraph"/>
        <w:jc w:val="both"/>
        <w:rPr>
          <w:lang w:val="id-ID"/>
        </w:rPr>
      </w:pPr>
      <w:r w:rsidRPr="002015B7">
        <w:rPr>
          <w:lang w:val="id-ID"/>
        </w:rPr>
        <w:t xml:space="preserve">Rp 235.071.000, dengan </w:t>
      </w:r>
      <w:proofErr w:type="spellStart"/>
      <w:r w:rsidRPr="002015B7">
        <w:rPr>
          <w:lang w:val="id-ID"/>
        </w:rPr>
        <w:t>Webcam</w:t>
      </w:r>
      <w:proofErr w:type="spellEnd"/>
      <w:r w:rsidRPr="002015B7">
        <w:rPr>
          <w:lang w:val="id-ID"/>
        </w:rPr>
        <w:t xml:space="preserve"> HD &amp; </w:t>
      </w:r>
      <w:proofErr w:type="spellStart"/>
      <w:r w:rsidRPr="002015B7">
        <w:rPr>
          <w:lang w:val="id-ID"/>
        </w:rPr>
        <w:t>Speaker</w:t>
      </w:r>
      <w:proofErr w:type="spellEnd"/>
      <w:r w:rsidRPr="002015B7">
        <w:rPr>
          <w:lang w:val="id-ID"/>
        </w:rPr>
        <w:t xml:space="preserve"> </w:t>
      </w:r>
      <w:proofErr w:type="spellStart"/>
      <w:r w:rsidRPr="002015B7">
        <w:rPr>
          <w:lang w:val="id-ID"/>
        </w:rPr>
        <w:t>Bluetooth</w:t>
      </w:r>
      <w:proofErr w:type="spellEnd"/>
      <w:r w:rsidRPr="002015B7">
        <w:rPr>
          <w:lang w:val="id-ID"/>
        </w:rPr>
        <w:t xml:space="preserve"> sebagai kontributor terbesar</w:t>
      </w:r>
      <w:r>
        <w:rPr>
          <w:lang w:val="id-ID"/>
        </w:rPr>
        <w:t>.</w:t>
      </w:r>
    </w:p>
    <w:p w:rsidR="002015B7" w:rsidRDefault="002015B7" w:rsidP="006013CF">
      <w:pPr>
        <w:pStyle w:val="ListParagraph"/>
        <w:numPr>
          <w:ilvl w:val="0"/>
          <w:numId w:val="2"/>
        </w:numPr>
        <w:jc w:val="both"/>
        <w:rPr>
          <w:lang w:val="id-ID"/>
        </w:rPr>
      </w:pPr>
      <w:r w:rsidRPr="002015B7">
        <w:rPr>
          <w:lang w:val="id-ID"/>
        </w:rPr>
        <w:t>Pakaian</w:t>
      </w:r>
    </w:p>
    <w:p w:rsidR="002015B7" w:rsidRPr="002015B7" w:rsidRDefault="002015B7" w:rsidP="006013CF">
      <w:pPr>
        <w:pStyle w:val="ListParagraph"/>
        <w:jc w:val="both"/>
        <w:rPr>
          <w:lang w:val="id-ID"/>
        </w:rPr>
      </w:pPr>
      <w:r w:rsidRPr="002015B7">
        <w:rPr>
          <w:lang w:val="id-ID"/>
        </w:rPr>
        <w:t>Rp 92.616.000</w:t>
      </w:r>
      <w:r>
        <w:rPr>
          <w:lang w:val="id-ID"/>
        </w:rPr>
        <w:t xml:space="preserve">, dengan </w:t>
      </w:r>
      <w:proofErr w:type="spellStart"/>
      <w:r>
        <w:rPr>
          <w:lang w:val="id-ID"/>
        </w:rPr>
        <w:t>Hoodie</w:t>
      </w:r>
      <w:proofErr w:type="spellEnd"/>
      <w:r>
        <w:rPr>
          <w:lang w:val="id-ID"/>
        </w:rPr>
        <w:t xml:space="preserve"> </w:t>
      </w:r>
      <w:proofErr w:type="spellStart"/>
      <w:r>
        <w:rPr>
          <w:lang w:val="id-ID"/>
        </w:rPr>
        <w:t>Branded</w:t>
      </w:r>
      <w:proofErr w:type="spellEnd"/>
      <w:r>
        <w:rPr>
          <w:lang w:val="id-ID"/>
        </w:rPr>
        <w:t xml:space="preserve"> dan Kaos Perusahaan sebagai penggerak utama.</w:t>
      </w:r>
    </w:p>
    <w:p w:rsidR="002015B7" w:rsidRDefault="002015B7" w:rsidP="006013CF">
      <w:pPr>
        <w:pStyle w:val="ListParagraph"/>
        <w:numPr>
          <w:ilvl w:val="0"/>
          <w:numId w:val="2"/>
        </w:numPr>
        <w:jc w:val="both"/>
        <w:rPr>
          <w:lang w:val="id-ID"/>
        </w:rPr>
      </w:pPr>
      <w:r w:rsidRPr="002015B7">
        <w:rPr>
          <w:lang w:val="id-ID"/>
        </w:rPr>
        <w:t>Alat Tulis Kantor</w:t>
      </w:r>
    </w:p>
    <w:p w:rsidR="006013CF" w:rsidRPr="006013CF" w:rsidRDefault="002015B7" w:rsidP="006013CF">
      <w:pPr>
        <w:pStyle w:val="ListParagraph"/>
        <w:jc w:val="both"/>
        <w:rPr>
          <w:lang w:val="id-ID"/>
        </w:rPr>
      </w:pPr>
      <w:r w:rsidRPr="002015B7">
        <w:rPr>
          <w:lang w:val="id-ID"/>
        </w:rPr>
        <w:t>Rp 57.855.500 (kategori dengan margin/nilai per transaksi terkecil)</w:t>
      </w:r>
    </w:p>
    <w:p w:rsidR="002015B7" w:rsidRDefault="002015B7" w:rsidP="006013CF">
      <w:pPr>
        <w:pStyle w:val="ListParagraph"/>
        <w:numPr>
          <w:ilvl w:val="0"/>
          <w:numId w:val="1"/>
        </w:numPr>
        <w:jc w:val="both"/>
        <w:rPr>
          <w:b/>
          <w:bCs/>
          <w:lang w:val="id-ID"/>
        </w:rPr>
      </w:pPr>
      <w:r w:rsidRPr="002015B7">
        <w:rPr>
          <w:b/>
          <w:bCs/>
          <w:lang w:val="id-ID"/>
        </w:rPr>
        <w:lastRenderedPageBreak/>
        <w:t>Kinerja per Kota</w:t>
      </w:r>
    </w:p>
    <w:tbl>
      <w:tblPr>
        <w:tblStyle w:val="TableGrid"/>
        <w:tblW w:w="0" w:type="auto"/>
        <w:tblInd w:w="360" w:type="dxa"/>
        <w:tblLook w:val="04A0" w:firstRow="1" w:lastRow="0" w:firstColumn="1" w:lastColumn="0" w:noHBand="0" w:noVBand="1"/>
      </w:tblPr>
      <w:tblGrid>
        <w:gridCol w:w="1731"/>
        <w:gridCol w:w="1859"/>
        <w:gridCol w:w="1859"/>
        <w:gridCol w:w="1859"/>
        <w:gridCol w:w="1682"/>
      </w:tblGrid>
      <w:tr w:rsidR="009504E8" w:rsidTr="009504E8">
        <w:tc>
          <w:tcPr>
            <w:tcW w:w="1731" w:type="dxa"/>
            <w:vAlign w:val="center"/>
          </w:tcPr>
          <w:p w:rsidR="009504E8" w:rsidRPr="009504E8" w:rsidRDefault="009504E8" w:rsidP="006013CF">
            <w:pPr>
              <w:jc w:val="both"/>
              <w:rPr>
                <w:b/>
                <w:bCs/>
                <w:sz w:val="22"/>
                <w:szCs w:val="22"/>
              </w:rPr>
            </w:pPr>
            <w:r w:rsidRPr="009504E8">
              <w:rPr>
                <w:b/>
                <w:bCs/>
                <w:sz w:val="22"/>
                <w:szCs w:val="22"/>
              </w:rPr>
              <w:t>Wilayah</w:t>
            </w:r>
          </w:p>
        </w:tc>
        <w:tc>
          <w:tcPr>
            <w:tcW w:w="1859" w:type="dxa"/>
            <w:vAlign w:val="center"/>
          </w:tcPr>
          <w:p w:rsidR="009504E8" w:rsidRPr="009504E8" w:rsidRDefault="009504E8" w:rsidP="006013CF">
            <w:pPr>
              <w:jc w:val="both"/>
              <w:rPr>
                <w:b/>
                <w:bCs/>
                <w:sz w:val="22"/>
                <w:szCs w:val="22"/>
              </w:rPr>
            </w:pPr>
            <w:r w:rsidRPr="009504E8">
              <w:rPr>
                <w:b/>
                <w:bCs/>
                <w:sz w:val="22"/>
                <w:szCs w:val="22"/>
              </w:rPr>
              <w:t xml:space="preserve">Total </w:t>
            </w:r>
            <w:proofErr w:type="spellStart"/>
            <w:r w:rsidRPr="009504E8">
              <w:rPr>
                <w:b/>
                <w:bCs/>
                <w:sz w:val="22"/>
                <w:szCs w:val="22"/>
              </w:rPr>
              <w:t>Penjualan</w:t>
            </w:r>
            <w:proofErr w:type="spellEnd"/>
          </w:p>
        </w:tc>
        <w:tc>
          <w:tcPr>
            <w:tcW w:w="1859" w:type="dxa"/>
            <w:vAlign w:val="center"/>
          </w:tcPr>
          <w:p w:rsidR="009504E8" w:rsidRPr="009504E8" w:rsidRDefault="009504E8" w:rsidP="006013CF">
            <w:pPr>
              <w:jc w:val="both"/>
              <w:rPr>
                <w:b/>
                <w:bCs/>
                <w:sz w:val="22"/>
                <w:szCs w:val="22"/>
              </w:rPr>
            </w:pPr>
            <w:r w:rsidRPr="009504E8">
              <w:rPr>
                <w:b/>
                <w:bCs/>
                <w:sz w:val="22"/>
                <w:szCs w:val="22"/>
              </w:rPr>
              <w:t xml:space="preserve">Total </w:t>
            </w:r>
            <w:proofErr w:type="spellStart"/>
            <w:r w:rsidRPr="009504E8">
              <w:rPr>
                <w:b/>
                <w:bCs/>
                <w:sz w:val="22"/>
                <w:szCs w:val="22"/>
              </w:rPr>
              <w:t>Bersih</w:t>
            </w:r>
            <w:proofErr w:type="spellEnd"/>
          </w:p>
        </w:tc>
        <w:tc>
          <w:tcPr>
            <w:tcW w:w="1859" w:type="dxa"/>
            <w:vAlign w:val="center"/>
          </w:tcPr>
          <w:p w:rsidR="009504E8" w:rsidRPr="009504E8" w:rsidRDefault="009504E8" w:rsidP="006013CF">
            <w:pPr>
              <w:jc w:val="both"/>
              <w:rPr>
                <w:b/>
                <w:bCs/>
                <w:sz w:val="22"/>
                <w:szCs w:val="22"/>
              </w:rPr>
            </w:pPr>
            <w:r w:rsidRPr="009504E8">
              <w:rPr>
                <w:b/>
                <w:bCs/>
                <w:sz w:val="22"/>
                <w:szCs w:val="22"/>
              </w:rPr>
              <w:t>Profit</w:t>
            </w:r>
          </w:p>
        </w:tc>
        <w:tc>
          <w:tcPr>
            <w:tcW w:w="1682" w:type="dxa"/>
            <w:vAlign w:val="center"/>
          </w:tcPr>
          <w:p w:rsidR="009504E8" w:rsidRPr="009504E8" w:rsidRDefault="009504E8" w:rsidP="006013CF">
            <w:pPr>
              <w:jc w:val="both"/>
              <w:rPr>
                <w:b/>
                <w:bCs/>
                <w:sz w:val="22"/>
                <w:szCs w:val="22"/>
              </w:rPr>
            </w:pPr>
            <w:r w:rsidRPr="009504E8">
              <w:rPr>
                <w:b/>
                <w:bCs/>
                <w:sz w:val="22"/>
                <w:szCs w:val="22"/>
              </w:rPr>
              <w:t>Margin Profit</w:t>
            </w:r>
          </w:p>
        </w:tc>
      </w:tr>
      <w:tr w:rsidR="009504E8" w:rsidTr="009504E8">
        <w:tc>
          <w:tcPr>
            <w:tcW w:w="1731" w:type="dxa"/>
            <w:vAlign w:val="center"/>
          </w:tcPr>
          <w:p w:rsidR="009504E8" w:rsidRPr="009504E8" w:rsidRDefault="009504E8" w:rsidP="006013CF">
            <w:pPr>
              <w:jc w:val="both"/>
              <w:rPr>
                <w:sz w:val="22"/>
                <w:szCs w:val="22"/>
              </w:rPr>
            </w:pPr>
            <w:r w:rsidRPr="009504E8">
              <w:rPr>
                <w:sz w:val="22"/>
                <w:szCs w:val="22"/>
              </w:rPr>
              <w:t>Kalimantan</w:t>
            </w:r>
          </w:p>
        </w:tc>
        <w:tc>
          <w:tcPr>
            <w:tcW w:w="1859" w:type="dxa"/>
            <w:vAlign w:val="center"/>
          </w:tcPr>
          <w:p w:rsidR="009504E8" w:rsidRPr="009504E8" w:rsidRDefault="009504E8" w:rsidP="006013CF">
            <w:pPr>
              <w:jc w:val="both"/>
              <w:rPr>
                <w:sz w:val="22"/>
                <w:szCs w:val="22"/>
              </w:rPr>
            </w:pPr>
            <w:r w:rsidRPr="009504E8">
              <w:rPr>
                <w:sz w:val="22"/>
                <w:szCs w:val="22"/>
              </w:rPr>
              <w:t>Rp646.419.000</w:t>
            </w:r>
          </w:p>
        </w:tc>
        <w:tc>
          <w:tcPr>
            <w:tcW w:w="1859" w:type="dxa"/>
            <w:vAlign w:val="center"/>
          </w:tcPr>
          <w:p w:rsidR="009504E8" w:rsidRPr="009504E8" w:rsidRDefault="009504E8" w:rsidP="006013CF">
            <w:pPr>
              <w:jc w:val="both"/>
              <w:rPr>
                <w:sz w:val="22"/>
                <w:szCs w:val="22"/>
              </w:rPr>
            </w:pPr>
            <w:r w:rsidRPr="009504E8">
              <w:rPr>
                <w:sz w:val="22"/>
                <w:szCs w:val="22"/>
              </w:rPr>
              <w:t>Rp593.624.000</w:t>
            </w:r>
          </w:p>
        </w:tc>
        <w:tc>
          <w:tcPr>
            <w:tcW w:w="1859" w:type="dxa"/>
            <w:vAlign w:val="center"/>
          </w:tcPr>
          <w:p w:rsidR="009504E8" w:rsidRPr="009504E8" w:rsidRDefault="009504E8" w:rsidP="006013CF">
            <w:pPr>
              <w:jc w:val="both"/>
              <w:rPr>
                <w:sz w:val="22"/>
                <w:szCs w:val="22"/>
              </w:rPr>
            </w:pPr>
            <w:r w:rsidRPr="009504E8">
              <w:rPr>
                <w:sz w:val="22"/>
                <w:szCs w:val="22"/>
              </w:rPr>
              <w:t>Rp250.236.000</w:t>
            </w:r>
          </w:p>
        </w:tc>
        <w:tc>
          <w:tcPr>
            <w:tcW w:w="1682" w:type="dxa"/>
            <w:vAlign w:val="center"/>
          </w:tcPr>
          <w:p w:rsidR="009504E8" w:rsidRPr="009504E8" w:rsidRDefault="009504E8" w:rsidP="006013CF">
            <w:pPr>
              <w:jc w:val="both"/>
              <w:rPr>
                <w:sz w:val="22"/>
                <w:szCs w:val="22"/>
              </w:rPr>
            </w:pPr>
            <w:r w:rsidRPr="009504E8">
              <w:rPr>
                <w:sz w:val="22"/>
                <w:szCs w:val="22"/>
              </w:rPr>
              <w:t>38,71%</w:t>
            </w:r>
          </w:p>
        </w:tc>
      </w:tr>
      <w:tr w:rsidR="009504E8" w:rsidTr="009504E8">
        <w:tc>
          <w:tcPr>
            <w:tcW w:w="1731" w:type="dxa"/>
            <w:vAlign w:val="center"/>
          </w:tcPr>
          <w:p w:rsidR="009504E8" w:rsidRPr="009504E8" w:rsidRDefault="009504E8" w:rsidP="006013CF">
            <w:pPr>
              <w:jc w:val="both"/>
              <w:rPr>
                <w:sz w:val="22"/>
                <w:szCs w:val="22"/>
              </w:rPr>
            </w:pPr>
            <w:r w:rsidRPr="009504E8">
              <w:rPr>
                <w:sz w:val="22"/>
                <w:szCs w:val="22"/>
              </w:rPr>
              <w:t>Sumatera</w:t>
            </w:r>
          </w:p>
        </w:tc>
        <w:tc>
          <w:tcPr>
            <w:tcW w:w="1859" w:type="dxa"/>
            <w:vAlign w:val="center"/>
          </w:tcPr>
          <w:p w:rsidR="009504E8" w:rsidRPr="009504E8" w:rsidRDefault="009504E8" w:rsidP="006013CF">
            <w:pPr>
              <w:jc w:val="both"/>
              <w:rPr>
                <w:sz w:val="22"/>
                <w:szCs w:val="22"/>
              </w:rPr>
            </w:pPr>
            <w:r w:rsidRPr="009504E8">
              <w:rPr>
                <w:sz w:val="22"/>
                <w:szCs w:val="22"/>
              </w:rPr>
              <w:t>Rp635.298.000</w:t>
            </w:r>
          </w:p>
        </w:tc>
        <w:tc>
          <w:tcPr>
            <w:tcW w:w="1859" w:type="dxa"/>
            <w:vAlign w:val="center"/>
          </w:tcPr>
          <w:p w:rsidR="009504E8" w:rsidRPr="009504E8" w:rsidRDefault="009504E8" w:rsidP="006013CF">
            <w:pPr>
              <w:jc w:val="both"/>
              <w:rPr>
                <w:sz w:val="22"/>
                <w:szCs w:val="22"/>
              </w:rPr>
            </w:pPr>
            <w:r w:rsidRPr="009504E8">
              <w:rPr>
                <w:sz w:val="22"/>
                <w:szCs w:val="22"/>
              </w:rPr>
              <w:t>Rp612.096.500</w:t>
            </w:r>
          </w:p>
        </w:tc>
        <w:tc>
          <w:tcPr>
            <w:tcW w:w="1859" w:type="dxa"/>
            <w:vAlign w:val="center"/>
          </w:tcPr>
          <w:p w:rsidR="009504E8" w:rsidRPr="009504E8" w:rsidRDefault="009504E8" w:rsidP="006013CF">
            <w:pPr>
              <w:jc w:val="both"/>
              <w:rPr>
                <w:sz w:val="22"/>
                <w:szCs w:val="22"/>
              </w:rPr>
            </w:pPr>
            <w:r w:rsidRPr="009504E8">
              <w:rPr>
                <w:sz w:val="22"/>
                <w:szCs w:val="22"/>
              </w:rPr>
              <w:t>Rp279.371.500</w:t>
            </w:r>
          </w:p>
        </w:tc>
        <w:tc>
          <w:tcPr>
            <w:tcW w:w="1682" w:type="dxa"/>
            <w:vAlign w:val="center"/>
          </w:tcPr>
          <w:p w:rsidR="009504E8" w:rsidRPr="009504E8" w:rsidRDefault="009504E8" w:rsidP="006013CF">
            <w:pPr>
              <w:jc w:val="both"/>
              <w:rPr>
                <w:sz w:val="22"/>
                <w:szCs w:val="22"/>
              </w:rPr>
            </w:pPr>
            <w:r w:rsidRPr="009504E8">
              <w:rPr>
                <w:sz w:val="22"/>
                <w:szCs w:val="22"/>
              </w:rPr>
              <w:t>43,98%</w:t>
            </w:r>
          </w:p>
        </w:tc>
      </w:tr>
      <w:tr w:rsidR="009504E8" w:rsidTr="009504E8">
        <w:tc>
          <w:tcPr>
            <w:tcW w:w="1731" w:type="dxa"/>
            <w:vAlign w:val="center"/>
          </w:tcPr>
          <w:p w:rsidR="009504E8" w:rsidRPr="009504E8" w:rsidRDefault="009504E8" w:rsidP="006013CF">
            <w:pPr>
              <w:jc w:val="both"/>
              <w:rPr>
                <w:sz w:val="22"/>
                <w:szCs w:val="22"/>
              </w:rPr>
            </w:pPr>
            <w:r w:rsidRPr="009504E8">
              <w:rPr>
                <w:sz w:val="22"/>
                <w:szCs w:val="22"/>
              </w:rPr>
              <w:t>Jawa</w:t>
            </w:r>
          </w:p>
        </w:tc>
        <w:tc>
          <w:tcPr>
            <w:tcW w:w="1859" w:type="dxa"/>
            <w:vAlign w:val="center"/>
          </w:tcPr>
          <w:p w:rsidR="009504E8" w:rsidRPr="009504E8" w:rsidRDefault="009504E8" w:rsidP="006013CF">
            <w:pPr>
              <w:jc w:val="both"/>
              <w:rPr>
                <w:sz w:val="22"/>
                <w:szCs w:val="22"/>
              </w:rPr>
            </w:pPr>
            <w:r w:rsidRPr="009504E8">
              <w:rPr>
                <w:sz w:val="22"/>
                <w:szCs w:val="22"/>
              </w:rPr>
              <w:t>Rp629.692.000</w:t>
            </w:r>
          </w:p>
        </w:tc>
        <w:tc>
          <w:tcPr>
            <w:tcW w:w="1859" w:type="dxa"/>
            <w:vAlign w:val="center"/>
          </w:tcPr>
          <w:p w:rsidR="009504E8" w:rsidRPr="009504E8" w:rsidRDefault="009504E8" w:rsidP="006013CF">
            <w:pPr>
              <w:jc w:val="both"/>
              <w:rPr>
                <w:sz w:val="22"/>
                <w:szCs w:val="22"/>
              </w:rPr>
            </w:pPr>
            <w:r w:rsidRPr="009504E8">
              <w:rPr>
                <w:sz w:val="22"/>
                <w:szCs w:val="22"/>
              </w:rPr>
              <w:t>Rp597.786.000</w:t>
            </w:r>
          </w:p>
        </w:tc>
        <w:tc>
          <w:tcPr>
            <w:tcW w:w="1859" w:type="dxa"/>
            <w:vAlign w:val="center"/>
          </w:tcPr>
          <w:p w:rsidR="009504E8" w:rsidRPr="009504E8" w:rsidRDefault="009504E8" w:rsidP="006013CF">
            <w:pPr>
              <w:jc w:val="both"/>
              <w:rPr>
                <w:sz w:val="22"/>
                <w:szCs w:val="22"/>
              </w:rPr>
            </w:pPr>
            <w:r w:rsidRPr="009504E8">
              <w:rPr>
                <w:sz w:val="22"/>
                <w:szCs w:val="22"/>
              </w:rPr>
              <w:t>Rp268.756.000</w:t>
            </w:r>
          </w:p>
        </w:tc>
        <w:tc>
          <w:tcPr>
            <w:tcW w:w="1682" w:type="dxa"/>
            <w:vAlign w:val="center"/>
          </w:tcPr>
          <w:p w:rsidR="009504E8" w:rsidRPr="009504E8" w:rsidRDefault="009504E8" w:rsidP="006013CF">
            <w:pPr>
              <w:jc w:val="both"/>
              <w:rPr>
                <w:sz w:val="22"/>
                <w:szCs w:val="22"/>
              </w:rPr>
            </w:pPr>
            <w:r w:rsidRPr="009504E8">
              <w:rPr>
                <w:sz w:val="22"/>
                <w:szCs w:val="22"/>
              </w:rPr>
              <w:t>42,68%</w:t>
            </w:r>
          </w:p>
        </w:tc>
      </w:tr>
      <w:tr w:rsidR="009504E8" w:rsidTr="009504E8">
        <w:tc>
          <w:tcPr>
            <w:tcW w:w="1731" w:type="dxa"/>
            <w:vAlign w:val="center"/>
          </w:tcPr>
          <w:p w:rsidR="009504E8" w:rsidRPr="009504E8" w:rsidRDefault="009504E8" w:rsidP="006013CF">
            <w:pPr>
              <w:jc w:val="both"/>
              <w:rPr>
                <w:sz w:val="22"/>
                <w:szCs w:val="22"/>
              </w:rPr>
            </w:pPr>
            <w:r w:rsidRPr="009504E8">
              <w:rPr>
                <w:sz w:val="22"/>
                <w:szCs w:val="22"/>
              </w:rPr>
              <w:t>Sulawesi</w:t>
            </w:r>
          </w:p>
        </w:tc>
        <w:tc>
          <w:tcPr>
            <w:tcW w:w="1859" w:type="dxa"/>
            <w:vAlign w:val="center"/>
          </w:tcPr>
          <w:p w:rsidR="009504E8" w:rsidRPr="009504E8" w:rsidRDefault="009504E8" w:rsidP="006013CF">
            <w:pPr>
              <w:jc w:val="both"/>
              <w:rPr>
                <w:sz w:val="22"/>
                <w:szCs w:val="22"/>
              </w:rPr>
            </w:pPr>
            <w:r w:rsidRPr="009504E8">
              <w:rPr>
                <w:sz w:val="22"/>
                <w:szCs w:val="22"/>
              </w:rPr>
              <w:t>Rp525.731.000</w:t>
            </w:r>
          </w:p>
        </w:tc>
        <w:tc>
          <w:tcPr>
            <w:tcW w:w="1859" w:type="dxa"/>
            <w:vAlign w:val="center"/>
          </w:tcPr>
          <w:p w:rsidR="009504E8" w:rsidRPr="009504E8" w:rsidRDefault="009504E8" w:rsidP="006013CF">
            <w:pPr>
              <w:jc w:val="both"/>
              <w:rPr>
                <w:sz w:val="22"/>
                <w:szCs w:val="22"/>
              </w:rPr>
            </w:pPr>
            <w:r w:rsidRPr="009504E8">
              <w:rPr>
                <w:sz w:val="22"/>
                <w:szCs w:val="22"/>
              </w:rPr>
              <w:t>Rp493.979.000</w:t>
            </w:r>
          </w:p>
        </w:tc>
        <w:tc>
          <w:tcPr>
            <w:tcW w:w="1859" w:type="dxa"/>
            <w:vAlign w:val="center"/>
          </w:tcPr>
          <w:p w:rsidR="009504E8" w:rsidRPr="009504E8" w:rsidRDefault="009504E8" w:rsidP="006013CF">
            <w:pPr>
              <w:jc w:val="both"/>
              <w:rPr>
                <w:sz w:val="22"/>
                <w:szCs w:val="22"/>
              </w:rPr>
            </w:pPr>
            <w:r w:rsidRPr="009504E8">
              <w:rPr>
                <w:sz w:val="22"/>
                <w:szCs w:val="22"/>
              </w:rPr>
              <w:t>Rp216.990.000</w:t>
            </w:r>
          </w:p>
        </w:tc>
        <w:tc>
          <w:tcPr>
            <w:tcW w:w="1682" w:type="dxa"/>
            <w:vAlign w:val="center"/>
          </w:tcPr>
          <w:p w:rsidR="009504E8" w:rsidRPr="009504E8" w:rsidRDefault="009504E8" w:rsidP="006013CF">
            <w:pPr>
              <w:jc w:val="both"/>
              <w:rPr>
                <w:sz w:val="22"/>
                <w:szCs w:val="22"/>
              </w:rPr>
            </w:pPr>
            <w:r w:rsidRPr="009504E8">
              <w:rPr>
                <w:sz w:val="22"/>
                <w:szCs w:val="22"/>
              </w:rPr>
              <w:t>41,28%</w:t>
            </w:r>
          </w:p>
        </w:tc>
      </w:tr>
      <w:tr w:rsidR="009504E8" w:rsidTr="009504E8">
        <w:tc>
          <w:tcPr>
            <w:tcW w:w="1731" w:type="dxa"/>
            <w:vAlign w:val="center"/>
          </w:tcPr>
          <w:p w:rsidR="009504E8" w:rsidRPr="009504E8" w:rsidRDefault="009504E8" w:rsidP="006013CF">
            <w:pPr>
              <w:jc w:val="both"/>
              <w:rPr>
                <w:sz w:val="22"/>
                <w:szCs w:val="22"/>
              </w:rPr>
            </w:pPr>
            <w:r w:rsidRPr="009504E8">
              <w:rPr>
                <w:rStyle w:val="Strong"/>
                <w:sz w:val="22"/>
                <w:szCs w:val="22"/>
              </w:rPr>
              <w:t>Grand Total</w:t>
            </w:r>
          </w:p>
        </w:tc>
        <w:tc>
          <w:tcPr>
            <w:tcW w:w="1859" w:type="dxa"/>
            <w:vAlign w:val="center"/>
          </w:tcPr>
          <w:p w:rsidR="009504E8" w:rsidRPr="009504E8" w:rsidRDefault="009504E8" w:rsidP="006013CF">
            <w:pPr>
              <w:jc w:val="both"/>
              <w:rPr>
                <w:sz w:val="22"/>
                <w:szCs w:val="22"/>
              </w:rPr>
            </w:pPr>
            <w:r w:rsidRPr="009504E8">
              <w:rPr>
                <w:rStyle w:val="Strong"/>
                <w:sz w:val="22"/>
                <w:szCs w:val="22"/>
              </w:rPr>
              <w:t>Rp2.437.140.000</w:t>
            </w:r>
          </w:p>
        </w:tc>
        <w:tc>
          <w:tcPr>
            <w:tcW w:w="1859" w:type="dxa"/>
            <w:vAlign w:val="center"/>
          </w:tcPr>
          <w:p w:rsidR="009504E8" w:rsidRPr="009504E8" w:rsidRDefault="009504E8" w:rsidP="006013CF">
            <w:pPr>
              <w:jc w:val="both"/>
              <w:rPr>
                <w:sz w:val="22"/>
                <w:szCs w:val="22"/>
              </w:rPr>
            </w:pPr>
            <w:r w:rsidRPr="009504E8">
              <w:rPr>
                <w:rStyle w:val="Strong"/>
                <w:sz w:val="22"/>
                <w:szCs w:val="22"/>
              </w:rPr>
              <w:t>Rp2.297.485.500</w:t>
            </w:r>
          </w:p>
        </w:tc>
        <w:tc>
          <w:tcPr>
            <w:tcW w:w="1859" w:type="dxa"/>
            <w:vAlign w:val="center"/>
          </w:tcPr>
          <w:p w:rsidR="009504E8" w:rsidRPr="009504E8" w:rsidRDefault="009504E8" w:rsidP="006013CF">
            <w:pPr>
              <w:jc w:val="both"/>
              <w:rPr>
                <w:sz w:val="22"/>
                <w:szCs w:val="22"/>
              </w:rPr>
            </w:pPr>
            <w:r w:rsidRPr="009504E8">
              <w:rPr>
                <w:rStyle w:val="Strong"/>
                <w:sz w:val="22"/>
                <w:szCs w:val="22"/>
              </w:rPr>
              <w:t>Rp1.015.353.500</w:t>
            </w:r>
          </w:p>
        </w:tc>
        <w:tc>
          <w:tcPr>
            <w:tcW w:w="1682" w:type="dxa"/>
            <w:vAlign w:val="center"/>
          </w:tcPr>
          <w:p w:rsidR="009504E8" w:rsidRPr="009504E8" w:rsidRDefault="009504E8" w:rsidP="006013CF">
            <w:pPr>
              <w:jc w:val="both"/>
              <w:rPr>
                <w:sz w:val="22"/>
                <w:szCs w:val="22"/>
              </w:rPr>
            </w:pPr>
            <w:r w:rsidRPr="009504E8">
              <w:rPr>
                <w:rStyle w:val="Strong"/>
                <w:sz w:val="22"/>
                <w:szCs w:val="22"/>
              </w:rPr>
              <w:t>41,66%</w:t>
            </w:r>
          </w:p>
        </w:tc>
      </w:tr>
    </w:tbl>
    <w:p w:rsidR="009504E8" w:rsidRDefault="009504E8" w:rsidP="006013CF">
      <w:pPr>
        <w:pStyle w:val="ListParagraph"/>
        <w:ind w:left="360" w:firstLine="360"/>
        <w:jc w:val="both"/>
        <w:rPr>
          <w:lang w:val="id-ID"/>
        </w:rPr>
      </w:pPr>
      <w:r w:rsidRPr="009504E8">
        <w:rPr>
          <w:lang w:val="id-ID"/>
        </w:rPr>
        <w:t>Secara nominal, Kalimantan mencatatkan Total Penjualan tertinggi di antara seluruh wilayah, yaitu sebesar Rp 646.419.000, unggul tipis atas Sumatera (Rp 635.298.000) dan Jawa (Rp 629.692.000), dengan Sulawesi berada jauh di bawah sebagai wilayah dengan volume penjualan terendah. Namun, keunggulan Kalimantan dari sisi Total Penjualan tidak berbanding lurus dengan profitabilitasnya. Selisih antara Total Penjualan dan Total Bersih di Kalimantan tercatat paling lebar di antara seluruh wilayah (sekitar Rp 52,8 juta, atau ±8,2% dari Total Penjualan), mengindikasikan porsi diskon yang diberikan di wilayah ini relatif lebih besar dibanding wilayah lain.</w:t>
      </w:r>
    </w:p>
    <w:p w:rsidR="009504E8" w:rsidRDefault="009504E8" w:rsidP="006013CF">
      <w:pPr>
        <w:pStyle w:val="ListParagraph"/>
        <w:ind w:left="360" w:firstLine="360"/>
        <w:jc w:val="both"/>
        <w:rPr>
          <w:lang w:val="id-ID"/>
        </w:rPr>
      </w:pPr>
      <w:r w:rsidRPr="009504E8">
        <w:rPr>
          <w:lang w:val="id-ID"/>
        </w:rPr>
        <w:t>Sebaliknya, Sumatera justru tampil sebagai wilayah dengan kinerja finansial terbaik meskipun Total Penjualannya berada di posisi kedua. Wilayah ini mencatatkan Total Bersih tertinggi (Rp 612.096.500) sekaligus Profit tertinggi (Rp 279.371.500), dengan margin profit mencapai 43,98%. Efisiensi ini didukung oleh selisih Total Penjualan terhadap Total Bersih yang paling kecil (hanya sekitar Rp 23,2 juta, atau ±3,7%), menunjukkan penggunaan diskon yang lebih terkontrol dan struktur transaksi yang lebih menguntungkan.</w:t>
      </w:r>
    </w:p>
    <w:p w:rsidR="009504E8" w:rsidRPr="009504E8" w:rsidRDefault="009504E8" w:rsidP="006013CF">
      <w:pPr>
        <w:pStyle w:val="ListParagraph"/>
        <w:ind w:left="360" w:firstLine="360"/>
        <w:jc w:val="both"/>
        <w:rPr>
          <w:lang w:val="id-ID"/>
        </w:rPr>
      </w:pPr>
      <w:r w:rsidRPr="009504E8">
        <w:rPr>
          <w:lang w:val="id-ID"/>
        </w:rPr>
        <w:t>Jawa menempati posisi kedua dari sisi profit (Rp 268.756.000) dengan margin 42,68%, relatif stabil dan konsisten meski volume penjualannya bukan yang tertinggi. Sementara itu, Sulawesi secara konsisten berada di posisi terbawah pada ketiga metrik</w:t>
      </w:r>
      <w:r>
        <w:rPr>
          <w:lang w:val="id-ID"/>
        </w:rPr>
        <w:t xml:space="preserve">. </w:t>
      </w:r>
      <w:r w:rsidRPr="009504E8">
        <w:rPr>
          <w:lang w:val="id-ID"/>
        </w:rPr>
        <w:t>sehingga menjadi wilayah dengan kontribusi paling kecil terhadap kinerja penjualan perusahaan secara keseluruhan.</w:t>
      </w:r>
    </w:p>
    <w:p w:rsidR="002015B7" w:rsidRDefault="006013CF" w:rsidP="006013CF">
      <w:pPr>
        <w:pStyle w:val="ListParagraph"/>
        <w:numPr>
          <w:ilvl w:val="0"/>
          <w:numId w:val="1"/>
        </w:numPr>
        <w:jc w:val="both"/>
        <w:rPr>
          <w:b/>
          <w:bCs/>
          <w:lang w:val="id-ID"/>
        </w:rPr>
      </w:pPr>
      <w:r>
        <w:rPr>
          <w:b/>
          <w:bCs/>
          <w:lang w:val="id-ID"/>
        </w:rPr>
        <w:t>Rekomendasi</w:t>
      </w:r>
    </w:p>
    <w:p w:rsidR="006013CF" w:rsidRPr="006013CF" w:rsidRDefault="006013CF" w:rsidP="006013CF">
      <w:pPr>
        <w:pStyle w:val="ListParagraph"/>
        <w:numPr>
          <w:ilvl w:val="0"/>
          <w:numId w:val="6"/>
        </w:numPr>
        <w:jc w:val="both"/>
        <w:rPr>
          <w:lang w:val="id-ID"/>
        </w:rPr>
      </w:pPr>
      <w:r w:rsidRPr="006013CF">
        <w:rPr>
          <w:lang w:val="id-ID"/>
        </w:rPr>
        <w:t>Perkuat strategi penjualan Furnitur (Meja Berdiri &amp; Kursi Kantor) karena kontribusinya dominan</w:t>
      </w:r>
      <w:r>
        <w:rPr>
          <w:lang w:val="id-ID"/>
        </w:rPr>
        <w:t>.</w:t>
      </w:r>
    </w:p>
    <w:p w:rsidR="006013CF" w:rsidRPr="006013CF" w:rsidRDefault="006013CF" w:rsidP="006013CF">
      <w:pPr>
        <w:pStyle w:val="ListParagraph"/>
        <w:numPr>
          <w:ilvl w:val="0"/>
          <w:numId w:val="6"/>
        </w:numPr>
        <w:jc w:val="both"/>
        <w:rPr>
          <w:lang w:val="id-ID"/>
        </w:rPr>
      </w:pPr>
      <w:r w:rsidRPr="006013CF">
        <w:rPr>
          <w:lang w:val="id-ID"/>
        </w:rPr>
        <w:t>Investigasi</w:t>
      </w:r>
      <w:r>
        <w:rPr>
          <w:lang w:val="id-ID"/>
        </w:rPr>
        <w:t xml:space="preserve"> mengapa</w:t>
      </w:r>
      <w:r w:rsidRPr="006013CF">
        <w:rPr>
          <w:lang w:val="id-ID"/>
        </w:rPr>
        <w:t xml:space="preserve"> </w:t>
      </w:r>
      <w:r>
        <w:rPr>
          <w:lang w:val="id-ID"/>
        </w:rPr>
        <w:t>Jakarta, Makassar, dan</w:t>
      </w:r>
      <w:r w:rsidRPr="006013CF">
        <w:rPr>
          <w:lang w:val="id-ID"/>
        </w:rPr>
        <w:t xml:space="preserve"> Bandung punya penjualan tinggi tapi profit rendah</w:t>
      </w:r>
      <w:r>
        <w:rPr>
          <w:lang w:val="id-ID"/>
        </w:rPr>
        <w:t>,</w:t>
      </w:r>
      <w:r w:rsidRPr="006013CF">
        <w:rPr>
          <w:lang w:val="id-ID"/>
        </w:rPr>
        <w:t xml:space="preserve"> kemungkinan diskon besar sering terjadi di sana</w:t>
      </w:r>
      <w:r>
        <w:rPr>
          <w:lang w:val="id-ID"/>
        </w:rPr>
        <w:t>.</w:t>
      </w:r>
    </w:p>
    <w:p w:rsidR="006013CF" w:rsidRPr="006013CF" w:rsidRDefault="006013CF" w:rsidP="006013CF">
      <w:pPr>
        <w:pStyle w:val="ListParagraph"/>
        <w:numPr>
          <w:ilvl w:val="0"/>
          <w:numId w:val="6"/>
        </w:numPr>
        <w:jc w:val="both"/>
        <w:rPr>
          <w:lang w:val="id-ID"/>
        </w:rPr>
      </w:pPr>
      <w:r w:rsidRPr="006013CF">
        <w:rPr>
          <w:lang w:val="id-ID"/>
        </w:rPr>
        <w:t>Evaluasi &amp; dukung performa Fitri Handayani dan Budi Santoso yang berada di posisi terbawah</w:t>
      </w:r>
      <w:r>
        <w:rPr>
          <w:lang w:val="id-ID"/>
        </w:rPr>
        <w:t>.</w:t>
      </w:r>
    </w:p>
    <w:p w:rsidR="002015B7" w:rsidRPr="002015B7" w:rsidRDefault="002015B7" w:rsidP="006013CF">
      <w:pPr>
        <w:pStyle w:val="ListParagraph"/>
        <w:ind w:left="360"/>
        <w:jc w:val="both"/>
        <w:rPr>
          <w:lang w:val="id-ID"/>
        </w:rPr>
      </w:pPr>
    </w:p>
    <w:p w:rsidR="002015B7" w:rsidRPr="002015B7" w:rsidRDefault="002015B7" w:rsidP="006013CF">
      <w:pPr>
        <w:jc w:val="both"/>
        <w:rPr>
          <w:lang w:val="id-ID"/>
        </w:rPr>
      </w:pPr>
    </w:p>
    <w:p w:rsidR="002015B7" w:rsidRPr="002015B7" w:rsidRDefault="002015B7" w:rsidP="006013CF">
      <w:pPr>
        <w:jc w:val="both"/>
        <w:rPr>
          <w:lang w:val="id-ID"/>
        </w:rPr>
      </w:pPr>
    </w:p>
    <w:sectPr w:rsidR="002015B7" w:rsidRPr="002015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737E"/>
    <w:multiLevelType w:val="hybridMultilevel"/>
    <w:tmpl w:val="85A21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62965"/>
    <w:multiLevelType w:val="hybridMultilevel"/>
    <w:tmpl w:val="C69005E6"/>
    <w:lvl w:ilvl="0" w:tplc="02FE19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99265F"/>
    <w:multiLevelType w:val="hybridMultilevel"/>
    <w:tmpl w:val="972A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33265"/>
    <w:multiLevelType w:val="hybridMultilevel"/>
    <w:tmpl w:val="2E6C347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09287B"/>
    <w:multiLevelType w:val="hybridMultilevel"/>
    <w:tmpl w:val="DA127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F13351"/>
    <w:multiLevelType w:val="hybridMultilevel"/>
    <w:tmpl w:val="C1CC2FF0"/>
    <w:lvl w:ilvl="0" w:tplc="BA0E5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2196663">
    <w:abstractNumId w:val="1"/>
  </w:num>
  <w:num w:numId="2" w16cid:durableId="402605155">
    <w:abstractNumId w:val="0"/>
  </w:num>
  <w:num w:numId="3" w16cid:durableId="953711433">
    <w:abstractNumId w:val="4"/>
  </w:num>
  <w:num w:numId="4" w16cid:durableId="1502358015">
    <w:abstractNumId w:val="5"/>
  </w:num>
  <w:num w:numId="5" w16cid:durableId="723406593">
    <w:abstractNumId w:val="3"/>
  </w:num>
  <w:num w:numId="6" w16cid:durableId="10022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B7"/>
    <w:rsid w:val="00026558"/>
    <w:rsid w:val="002015B7"/>
    <w:rsid w:val="0023180B"/>
    <w:rsid w:val="006013CF"/>
    <w:rsid w:val="00662040"/>
    <w:rsid w:val="00886658"/>
    <w:rsid w:val="008F7379"/>
    <w:rsid w:val="009504E8"/>
    <w:rsid w:val="00A663B4"/>
    <w:rsid w:val="00AC18D9"/>
    <w:rsid w:val="00B30EEE"/>
    <w:rsid w:val="00DB7592"/>
    <w:rsid w:val="00E82921"/>
    <w:rsid w:val="00F21784"/>
    <w:rsid w:val="00F54502"/>
    <w:rsid w:val="00F67F25"/>
    <w:rsid w:val="00F838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545958A"/>
  <w15:chartTrackingRefBased/>
  <w15:docId w15:val="{65040522-FCAC-B44D-9B62-862B817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5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5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5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5B7"/>
    <w:rPr>
      <w:rFonts w:eastAsiaTheme="majorEastAsia" w:cstheme="majorBidi"/>
      <w:color w:val="272727" w:themeColor="text1" w:themeTint="D8"/>
    </w:rPr>
  </w:style>
  <w:style w:type="paragraph" w:styleId="Title">
    <w:name w:val="Title"/>
    <w:basedOn w:val="Normal"/>
    <w:next w:val="Normal"/>
    <w:link w:val="TitleChar"/>
    <w:uiPriority w:val="10"/>
    <w:qFormat/>
    <w:rsid w:val="00201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5B7"/>
    <w:pPr>
      <w:spacing w:before="160"/>
      <w:jc w:val="center"/>
    </w:pPr>
    <w:rPr>
      <w:i/>
      <w:iCs/>
      <w:color w:val="404040" w:themeColor="text1" w:themeTint="BF"/>
    </w:rPr>
  </w:style>
  <w:style w:type="character" w:customStyle="1" w:styleId="QuoteChar">
    <w:name w:val="Quote Char"/>
    <w:basedOn w:val="DefaultParagraphFont"/>
    <w:link w:val="Quote"/>
    <w:uiPriority w:val="29"/>
    <w:rsid w:val="002015B7"/>
    <w:rPr>
      <w:i/>
      <w:iCs/>
      <w:color w:val="404040" w:themeColor="text1" w:themeTint="BF"/>
    </w:rPr>
  </w:style>
  <w:style w:type="paragraph" w:styleId="ListParagraph">
    <w:name w:val="List Paragraph"/>
    <w:basedOn w:val="Normal"/>
    <w:uiPriority w:val="34"/>
    <w:qFormat/>
    <w:rsid w:val="002015B7"/>
    <w:pPr>
      <w:ind w:left="720"/>
      <w:contextualSpacing/>
    </w:pPr>
  </w:style>
  <w:style w:type="character" w:styleId="IntenseEmphasis">
    <w:name w:val="Intense Emphasis"/>
    <w:basedOn w:val="DefaultParagraphFont"/>
    <w:uiPriority w:val="21"/>
    <w:qFormat/>
    <w:rsid w:val="002015B7"/>
    <w:rPr>
      <w:i/>
      <w:iCs/>
      <w:color w:val="0F4761" w:themeColor="accent1" w:themeShade="BF"/>
    </w:rPr>
  </w:style>
  <w:style w:type="paragraph" w:styleId="IntenseQuote">
    <w:name w:val="Intense Quote"/>
    <w:basedOn w:val="Normal"/>
    <w:next w:val="Normal"/>
    <w:link w:val="IntenseQuoteChar"/>
    <w:uiPriority w:val="30"/>
    <w:qFormat/>
    <w:rsid w:val="00201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5B7"/>
    <w:rPr>
      <w:i/>
      <w:iCs/>
      <w:color w:val="0F4761" w:themeColor="accent1" w:themeShade="BF"/>
    </w:rPr>
  </w:style>
  <w:style w:type="character" w:styleId="IntenseReference">
    <w:name w:val="Intense Reference"/>
    <w:basedOn w:val="DefaultParagraphFont"/>
    <w:uiPriority w:val="32"/>
    <w:qFormat/>
    <w:rsid w:val="002015B7"/>
    <w:rPr>
      <w:b/>
      <w:bCs/>
      <w:smallCaps/>
      <w:color w:val="0F4761" w:themeColor="accent1" w:themeShade="BF"/>
      <w:spacing w:val="5"/>
    </w:rPr>
  </w:style>
  <w:style w:type="character" w:styleId="Strong">
    <w:name w:val="Strong"/>
    <w:basedOn w:val="DefaultParagraphFont"/>
    <w:uiPriority w:val="22"/>
    <w:qFormat/>
    <w:rsid w:val="002015B7"/>
    <w:rPr>
      <w:b/>
      <w:bCs/>
    </w:rPr>
  </w:style>
  <w:style w:type="table" w:styleId="TableGrid">
    <w:name w:val="Table Grid"/>
    <w:basedOn w:val="TableNormal"/>
    <w:uiPriority w:val="39"/>
    <w:rsid w:val="00950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Users/tudemaha/Documents/test-excel/dataset-penjualan-finis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[dataset-penjualan-finish.xlsx]Pivot3!PivotTable4</c:name>
    <c:fmtId val="-1"/>
  </c:pivotSource>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Pivot3!$B$3</c:f>
              <c:strCache>
                <c:ptCount val="1"/>
                <c:pt idx="0">
                  <c:v>Total</c:v>
                </c:pt>
              </c:strCache>
            </c:strRef>
          </c:tx>
          <c:spPr>
            <a:solidFill>
              <a:schemeClr val="accent1"/>
            </a:solidFill>
            <a:ln>
              <a:noFill/>
            </a:ln>
            <a:effectLst/>
          </c:spPr>
          <c:invertIfNegative val="0"/>
          <c:cat>
            <c:strRef>
              <c:f>Pivot3!$A$4:$A$12</c:f>
              <c:strCache>
                <c:ptCount val="8"/>
                <c:pt idx="0">
                  <c:v>Andi Saputra</c:v>
                </c:pt>
                <c:pt idx="1">
                  <c:v>Budi Santoso</c:v>
                </c:pt>
                <c:pt idx="2">
                  <c:v>Citra Dewi</c:v>
                </c:pt>
                <c:pt idx="3">
                  <c:v>Dewi Lestari</c:v>
                </c:pt>
                <c:pt idx="4">
                  <c:v>Eko Prasetyo</c:v>
                </c:pt>
                <c:pt idx="5">
                  <c:v>Fitri Handayani</c:v>
                </c:pt>
                <c:pt idx="6">
                  <c:v>Gilang Ramadhan</c:v>
                </c:pt>
                <c:pt idx="7">
                  <c:v>Hesti Wulandari</c:v>
                </c:pt>
              </c:strCache>
            </c:strRef>
          </c:cat>
          <c:val>
            <c:numRef>
              <c:f>Pivot3!$B$4:$B$12</c:f>
              <c:numCache>
                <c:formatCode>"Rp"\ #,##0</c:formatCode>
                <c:ptCount val="8"/>
                <c:pt idx="0">
                  <c:v>134063000</c:v>
                </c:pt>
                <c:pt idx="1">
                  <c:v>103587500</c:v>
                </c:pt>
                <c:pt idx="2">
                  <c:v>165101000</c:v>
                </c:pt>
                <c:pt idx="3">
                  <c:v>138662000</c:v>
                </c:pt>
                <c:pt idx="4">
                  <c:v>125618500</c:v>
                </c:pt>
                <c:pt idx="5">
                  <c:v>88647000</c:v>
                </c:pt>
                <c:pt idx="6">
                  <c:v>117138000</c:v>
                </c:pt>
                <c:pt idx="7">
                  <c:v>142536500</c:v>
                </c:pt>
              </c:numCache>
            </c:numRef>
          </c:val>
          <c:extLst>
            <c:ext xmlns:c16="http://schemas.microsoft.com/office/drawing/2014/chart" uri="{C3380CC4-5D6E-409C-BE32-E72D297353CC}">
              <c16:uniqueId val="{00000000-A6FF-F54B-A700-65DCACAEDCCB}"/>
            </c:ext>
          </c:extLst>
        </c:ser>
        <c:dLbls>
          <c:showLegendKey val="0"/>
          <c:showVal val="0"/>
          <c:showCatName val="0"/>
          <c:showSerName val="0"/>
          <c:showPercent val="0"/>
          <c:showBubbleSize val="0"/>
        </c:dLbls>
        <c:gapWidth val="219"/>
        <c:overlap val="-27"/>
        <c:axId val="290330768"/>
        <c:axId val="290332480"/>
      </c:barChart>
      <c:catAx>
        <c:axId val="29033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332480"/>
        <c:crosses val="autoZero"/>
        <c:auto val="1"/>
        <c:lblAlgn val="ctr"/>
        <c:lblOffset val="100"/>
        <c:noMultiLvlLbl val="0"/>
      </c:catAx>
      <c:valAx>
        <c:axId val="290332480"/>
        <c:scaling>
          <c:orientation val="minMax"/>
        </c:scaling>
        <c:delete val="0"/>
        <c:axPos val="l"/>
        <c:majorGridlines>
          <c:spPr>
            <a:ln w="9525" cap="flat" cmpd="sng" algn="ctr">
              <a:solidFill>
                <a:schemeClr val="tx1">
                  <a:lumMod val="15000"/>
                  <a:lumOff val="85000"/>
                </a:schemeClr>
              </a:solidFill>
              <a:round/>
            </a:ln>
            <a:effectLst/>
          </c:spPr>
        </c:majorGridlines>
        <c:numFmt formatCode="&quot;Rp&quot;\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3307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Gede Mahardika</dc:creator>
  <cp:keywords/>
  <dc:description/>
  <cp:lastModifiedBy>Gede Mahardika</cp:lastModifiedBy>
  <cp:revision>1</cp:revision>
  <dcterms:created xsi:type="dcterms:W3CDTF">2026-07-10T10:49:00Z</dcterms:created>
  <dcterms:modified xsi:type="dcterms:W3CDTF">2026-07-10T11:18:00Z</dcterms:modified>
</cp:coreProperties>
</file>